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bookmarkStart w:id="0" w:name="_GoBack"/>
      <w:bookmarkEnd w:id="0"/>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w:t>
      </w:r>
      <w:r>
        <w:rPr>
          <w:rFonts w:hint="default" w:eastAsia="宋体"/>
          <w:sz w:val="24"/>
          <w:szCs w:val="24"/>
          <w:lang w:val="en-US" w:eastAsia="zh-CN"/>
        </w:rPr>
        <w:t>208</w:t>
      </w:r>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w:t>
      </w:r>
      <w:r>
        <w:rPr>
          <w:rFonts w:hint="default" w:eastAsia="Batang" w:cs="Arial"/>
          <w:sz w:val="20"/>
          <w:lang w:val="en-US" w:eastAsia="zh-CN"/>
        </w:rPr>
        <w:t>201</w:t>
      </w:r>
      <w:r>
        <w:rPr>
          <w:rFonts w:eastAsia="Batang" w:cs="Arial"/>
          <w:sz w:val="20"/>
          <w:lang w:val="en-US" w:eastAsia="zh-CN"/>
        </w:rPr>
        <w:t>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UAV Phase 3</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default" w:eastAsia="宋体"/>
          <w:lang w:val="en-US" w:eastAsia="zh-CN"/>
        </w:rPr>
        <w:t xml:space="preserve"> </w:t>
      </w:r>
      <w:r>
        <w:rPr>
          <w:rFonts w:hint="eastAsia"/>
          <w:lang w:eastAsia="zh-CN"/>
        </w:rPr>
        <w:t>Study on UAV Phase 3</w:t>
      </w:r>
    </w:p>
    <w:p>
      <w:pPr>
        <w:pStyle w:val="10"/>
      </w:pPr>
      <w:r>
        <w:t>Acronym:</w:t>
      </w:r>
      <w:r>
        <w:rPr>
          <w:rFonts w:hint="eastAsia" w:eastAsia="宋体"/>
          <w:lang w:val="en-US" w:eastAsia="zh-CN"/>
        </w:rPr>
        <w:t xml:space="preserve"> </w:t>
      </w:r>
      <w:r>
        <w:t xml:space="preserve">FS_UAV_Ph3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7"/>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Affects:</w:t>
            </w:r>
          </w:p>
        </w:tc>
        <w:tc>
          <w:tcPr>
            <w:tcW w:w="1275" w:type="dxa"/>
            <w:tcBorders>
              <w:left w:val="nil"/>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UICC apps</w:t>
            </w:r>
          </w:p>
        </w:tc>
        <w:tc>
          <w:tcPr>
            <w:tcW w:w="1037"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ME</w:t>
            </w:r>
          </w:p>
        </w:tc>
        <w:tc>
          <w:tcPr>
            <w:tcW w:w="850"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AN</w:t>
            </w:r>
          </w:p>
        </w:tc>
        <w:tc>
          <w:tcPr>
            <w:tcW w:w="851"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CN</w:t>
            </w:r>
          </w:p>
        </w:tc>
        <w:tc>
          <w:tcPr>
            <w:tcW w:w="1752" w:type="dxa"/>
            <w:tcBorders>
              <w:bottom w:val="single" w:color="auto" w:sz="12"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Yes</w:t>
            </w:r>
          </w:p>
        </w:tc>
        <w:tc>
          <w:tcPr>
            <w:tcW w:w="1275" w:type="dxa"/>
            <w:tcBorders>
              <w:top w:val="nil"/>
              <w:left w:val="nil"/>
            </w:tcBorders>
          </w:tcPr>
          <w:p>
            <w:pPr>
              <w:pStyle w:val="35"/>
              <w:widowControl/>
              <w:suppressLineNumbers w:val="0"/>
              <w:spacing w:before="0" w:beforeAutospacing="0" w:afterAutospacing="0"/>
              <w:ind w:left="0" w:right="0"/>
              <w:rPr>
                <w:rFonts w:hint="default"/>
                <w:kern w:val="2"/>
                <w:szCs w:val="22"/>
              </w:rPr>
            </w:pPr>
          </w:p>
        </w:tc>
        <w:tc>
          <w:tcPr>
            <w:tcW w:w="1037"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850" w:type="dxa"/>
            <w:tcBorders>
              <w:top w:val="nil"/>
            </w:tcBorders>
          </w:tcPr>
          <w:p>
            <w:pPr>
              <w:pStyle w:val="35"/>
              <w:widowControl/>
              <w:suppressLineNumbers w:val="0"/>
              <w:spacing w:before="0" w:beforeAutospacing="0" w:afterAutospacing="0"/>
              <w:ind w:left="0" w:right="0"/>
              <w:rPr>
                <w:rFonts w:hint="default"/>
                <w:kern w:val="2"/>
                <w:szCs w:val="22"/>
              </w:rPr>
            </w:pPr>
            <w:r>
              <w:rPr>
                <w:rFonts w:hint="default"/>
                <w:kern w:val="2"/>
                <w:szCs w:val="22"/>
              </w:rPr>
              <w:t>X</w:t>
            </w:r>
          </w:p>
        </w:tc>
        <w:tc>
          <w:tcPr>
            <w:tcW w:w="851" w:type="dxa"/>
            <w:tcBorders>
              <w:top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752" w:type="dxa"/>
            <w:tcBorders>
              <w:top w:val="nil"/>
            </w:tcBorders>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No</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4"/>
              <w:widowControl/>
              <w:suppressLineNumbers w:val="0"/>
              <w:spacing w:before="0" w:beforeAutospacing="0" w:afterAutospacing="0"/>
              <w:ind w:left="0" w:right="0"/>
              <w:rPr>
                <w:rFonts w:hint="default"/>
                <w:kern w:val="2"/>
                <w:szCs w:val="22"/>
              </w:rPr>
            </w:pPr>
            <w:r>
              <w:rPr>
                <w:rFonts w:hint="default"/>
                <w:kern w:val="2"/>
                <w:szCs w:val="22"/>
              </w:rPr>
              <w:t>Don't know</w:t>
            </w:r>
          </w:p>
        </w:tc>
        <w:tc>
          <w:tcPr>
            <w:tcW w:w="1275" w:type="dxa"/>
            <w:tcBorders>
              <w:left w:val="nil"/>
            </w:tcBorders>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c>
          <w:tcPr>
            <w:tcW w:w="1037" w:type="dxa"/>
          </w:tcPr>
          <w:p>
            <w:pPr>
              <w:pStyle w:val="35"/>
              <w:widowControl/>
              <w:suppressLineNumbers w:val="0"/>
              <w:spacing w:before="0" w:beforeAutospacing="0" w:afterAutospacing="0"/>
              <w:ind w:left="0" w:right="0"/>
              <w:rPr>
                <w:rFonts w:hint="default"/>
                <w:kern w:val="2"/>
                <w:szCs w:val="22"/>
              </w:rPr>
            </w:pPr>
          </w:p>
        </w:tc>
        <w:tc>
          <w:tcPr>
            <w:tcW w:w="850" w:type="dxa"/>
          </w:tcPr>
          <w:p>
            <w:pPr>
              <w:pStyle w:val="35"/>
              <w:widowControl/>
              <w:suppressLineNumbers w:val="0"/>
              <w:spacing w:before="0" w:beforeAutospacing="0" w:afterAutospacing="0"/>
              <w:ind w:left="0" w:right="0"/>
              <w:rPr>
                <w:rFonts w:hint="default"/>
                <w:kern w:val="2"/>
                <w:szCs w:val="22"/>
              </w:rPr>
            </w:pPr>
          </w:p>
        </w:tc>
        <w:tc>
          <w:tcPr>
            <w:tcW w:w="851" w:type="dxa"/>
          </w:tcPr>
          <w:p>
            <w:pPr>
              <w:pStyle w:val="35"/>
              <w:widowControl/>
              <w:suppressLineNumbers w:val="0"/>
              <w:spacing w:before="0" w:beforeAutospacing="0" w:afterAutospacing="0"/>
              <w:ind w:left="0" w:right="0"/>
              <w:rPr>
                <w:rFonts w:hint="default"/>
                <w:kern w:val="2"/>
                <w:szCs w:val="22"/>
              </w:rPr>
            </w:pPr>
          </w:p>
        </w:tc>
        <w:tc>
          <w:tcPr>
            <w:tcW w:w="1752" w:type="dxa"/>
          </w:tcPr>
          <w:p>
            <w:pPr>
              <w:pStyle w:val="35"/>
              <w:widowControl/>
              <w:suppressLineNumbers w:val="0"/>
              <w:spacing w:before="0" w:beforeAutospacing="0" w:afterAutospacing="0"/>
              <w:ind w:left="0" w:right="0"/>
              <w:rPr>
                <w:rFonts w:hint="default"/>
                <w:kern w:val="2"/>
                <w:szCs w:val="22"/>
              </w:rPr>
            </w:pPr>
            <w:r>
              <w:rPr>
                <w:rFonts w:hint="eastAsia"/>
                <w:kern w:val="2"/>
                <w:szCs w:val="22"/>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227" w:type="dxa"/>
            </w:tcMar>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kern w:val="2"/>
                <w:szCs w:val="22"/>
              </w:rPr>
            </w:pPr>
          </w:p>
        </w:tc>
        <w:tc>
          <w:tcPr>
            <w:tcW w:w="2917" w:type="dxa"/>
            <w:shd w:val="clear" w:color="auto" w:fill="E0E0E0"/>
            <w:tcMar>
              <w:left w:w="397" w:type="dxa"/>
            </w:tcMar>
          </w:tcPr>
          <w:p>
            <w:pPr>
              <w:pStyle w:val="34"/>
              <w:widowControl/>
              <w:suppressLineNumbers w:val="0"/>
              <w:spacing w:before="0" w:beforeAutospacing="0" w:afterAutospacing="0"/>
              <w:ind w:left="0" w:right="-99"/>
              <w:jc w:val="left"/>
              <w:rPr>
                <w:rFonts w:hint="default"/>
                <w:b w:val="0"/>
                <w:i/>
                <w:kern w:val="2"/>
                <w:szCs w:val="22"/>
              </w:rPr>
            </w:pPr>
            <w:r>
              <w:rPr>
                <w:rFonts w:hint="default"/>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5"/>
              <w:widowControl/>
              <w:suppressLineNumbers w:val="0"/>
              <w:spacing w:before="0" w:beforeAutospacing="0" w:afterAutospacing="0"/>
              <w:ind w:left="0" w:right="0"/>
              <w:rPr>
                <w:rFonts w:hint="default" w:eastAsiaTheme="minorEastAsia"/>
                <w:kern w:val="2"/>
                <w:szCs w:val="22"/>
                <w:lang w:eastAsia="zh-CN"/>
              </w:rPr>
            </w:pPr>
            <w:r>
              <w:rPr>
                <w:rFonts w:hint="eastAsia" w:eastAsiaTheme="minorEastAsia"/>
                <w:kern w:val="2"/>
                <w:szCs w:val="22"/>
                <w:lang w:eastAsia="zh-CN"/>
              </w:rPr>
              <w:t>X</w:t>
            </w:r>
          </w:p>
        </w:tc>
        <w:tc>
          <w:tcPr>
            <w:tcW w:w="2917" w:type="dxa"/>
            <w:shd w:val="clear" w:color="auto" w:fill="E0E0E0"/>
          </w:tcPr>
          <w:p>
            <w:pPr>
              <w:pStyle w:val="34"/>
              <w:widowControl/>
              <w:suppressLineNumbers w:val="0"/>
              <w:spacing w:before="0" w:beforeAutospacing="0" w:afterAutospacing="0"/>
              <w:ind w:left="0" w:right="-99"/>
              <w:jc w:val="left"/>
              <w:rPr>
                <w:rFonts w:hint="default"/>
                <w:color w:val="0000FF"/>
                <w:kern w:val="2"/>
                <w:szCs w:val="22"/>
              </w:rPr>
            </w:pPr>
            <w:r>
              <w:rPr>
                <w:rFonts w:hint="default"/>
                <w:color w:val="0000FF"/>
                <w:kern w:val="2"/>
                <w:sz w:val="20"/>
                <w:szCs w:val="22"/>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Acronym</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Working Group</w:t>
            </w:r>
          </w:p>
        </w:tc>
        <w:tc>
          <w:tcPr>
            <w:tcW w:w="1101"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Unique ID</w:t>
            </w:r>
          </w:p>
        </w:tc>
        <w:tc>
          <w:tcPr>
            <w:tcW w:w="6010" w:type="dxa"/>
            <w:shd w:val="clear" w:color="auto" w:fill="E0E0E0"/>
          </w:tcPr>
          <w:p>
            <w:pPr>
              <w:pStyle w:val="34"/>
              <w:widowControl/>
              <w:suppressLineNumbers w:val="0"/>
              <w:spacing w:before="0" w:beforeAutospacing="0" w:afterAutospacing="0"/>
              <w:ind w:left="0" w:right="-99"/>
              <w:jc w:val="left"/>
              <w:rPr>
                <w:rFonts w:hint="default"/>
                <w:kern w:val="2"/>
                <w:szCs w:val="22"/>
              </w:rPr>
            </w:pPr>
            <w:r>
              <w:rPr>
                <w:rFonts w:hint="default"/>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1101" w:type="dxa"/>
          </w:tcPr>
          <w:p>
            <w:pPr>
              <w:pStyle w:val="32"/>
              <w:widowControl/>
              <w:suppressLineNumbers w:val="0"/>
              <w:spacing w:before="0" w:beforeAutospacing="0" w:afterAutospacing="0"/>
              <w:ind w:left="0" w:right="0"/>
              <w:rPr>
                <w:rFonts w:hint="default"/>
                <w:kern w:val="2"/>
                <w:szCs w:val="22"/>
              </w:rPr>
            </w:pPr>
          </w:p>
        </w:tc>
        <w:tc>
          <w:tcPr>
            <w:tcW w:w="6010" w:type="dxa"/>
          </w:tcPr>
          <w:p>
            <w:pPr>
              <w:pStyle w:val="32"/>
              <w:widowControl/>
              <w:suppressLineNumbers w:val="0"/>
              <w:spacing w:before="0" w:beforeAutospacing="0" w:afterAutospacing="0"/>
              <w:ind w:left="0" w:right="0"/>
              <w:rPr>
                <w:rFonts w:hint="default"/>
                <w:kern w:val="2"/>
                <w:szCs w:val="22"/>
              </w:rPr>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Unique ID</w:t>
            </w:r>
          </w:p>
        </w:tc>
        <w:tc>
          <w:tcPr>
            <w:tcW w:w="3326"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5099"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820011</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Study on supporting Uncrewed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default"/>
                <w:kern w:val="2"/>
                <w:szCs w:val="22"/>
              </w:rPr>
              <w:t>900014</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rPr>
              <w:t>(Stage 2 of) Support of Uncrewed Aerial Systems Connectivity, Identification, and Tracking</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2"/>
              <w:widowControl/>
              <w:suppressLineNumbers w:val="0"/>
              <w:spacing w:before="0" w:beforeAutospacing="0" w:afterAutospacing="0"/>
              <w:ind w:left="0" w:right="0"/>
              <w:rPr>
                <w:rFonts w:hint="default"/>
                <w:kern w:val="2"/>
                <w:szCs w:val="22"/>
              </w:rPr>
            </w:pPr>
            <w:r>
              <w:rPr>
                <w:rFonts w:hint="eastAsia"/>
                <w:kern w:val="2"/>
                <w:szCs w:val="22"/>
              </w:rPr>
              <w:t>820026</w:t>
            </w:r>
          </w:p>
        </w:tc>
        <w:tc>
          <w:tcPr>
            <w:tcW w:w="3326" w:type="dxa"/>
          </w:tcPr>
          <w:p>
            <w:pPr>
              <w:pStyle w:val="32"/>
              <w:widowControl/>
              <w:suppressLineNumbers w:val="0"/>
              <w:spacing w:before="0" w:beforeAutospacing="0" w:afterAutospacing="0"/>
              <w:ind w:left="0" w:right="0"/>
              <w:rPr>
                <w:rFonts w:hint="default"/>
                <w:kern w:val="2"/>
                <w:szCs w:val="22"/>
              </w:rPr>
            </w:pPr>
            <w:r>
              <w:rPr>
                <w:rFonts w:hint="default"/>
                <w:kern w:val="2"/>
                <w:szCs w:val="22"/>
                <w:lang w:val="en-US"/>
              </w:rPr>
              <w:t>Study on a</w:t>
            </w:r>
            <w:r>
              <w:rPr>
                <w:rFonts w:hint="eastAsia"/>
                <w:kern w:val="2"/>
                <w:szCs w:val="22"/>
              </w:rPr>
              <w:t>pplication layer support for Uncrewed Aerial System (UAS);</w:t>
            </w:r>
          </w:p>
        </w:tc>
        <w:tc>
          <w:tcPr>
            <w:tcW w:w="5099" w:type="dxa"/>
          </w:tcPr>
          <w:p>
            <w:pPr>
              <w:pStyle w:val="32"/>
              <w:widowControl/>
              <w:suppressLineNumbers w:val="0"/>
              <w:spacing w:before="0" w:beforeAutospacing="0" w:afterAutospacing="0"/>
              <w:ind w:left="0" w:right="0"/>
              <w:rPr>
                <w:rFonts w:hint="default"/>
                <w:kern w:val="2"/>
                <w:szCs w:val="22"/>
              </w:rPr>
            </w:pPr>
            <w:r>
              <w:rPr>
                <w:rFonts w:hint="default"/>
                <w:kern w:val="2"/>
                <w:szCs w:val="22"/>
              </w:rPr>
              <w:t>R17 SA</w:t>
            </w:r>
            <w:r>
              <w:rPr>
                <w:rFonts w:hint="eastAsia" w:eastAsia="宋体"/>
                <w:kern w:val="2"/>
                <w:szCs w:val="22"/>
                <w:lang w:val="en-US" w:eastAsia="zh-CN"/>
              </w:rPr>
              <w:t>6</w:t>
            </w:r>
            <w:r>
              <w:rPr>
                <w:rFonts w:hint="default"/>
                <w:kern w:val="2"/>
                <w:szCs w:val="22"/>
              </w:rPr>
              <w:t xml:space="preserve"> </w:t>
            </w:r>
            <w:r>
              <w:rPr>
                <w:rFonts w:hint="default"/>
                <w:kern w:val="2"/>
                <w:szCs w:val="22"/>
                <w:lang w:val="en-US"/>
              </w:rPr>
              <w:t>study</w:t>
            </w:r>
            <w:r>
              <w:rPr>
                <w:rFonts w:hint="default"/>
                <w:kern w:val="2"/>
                <w:szCs w:val="22"/>
              </w:rPr>
              <w:t xml:space="preserve"> on the </w:t>
            </w:r>
            <w:r>
              <w:rPr>
                <w:rFonts w:hint="eastAsia" w:eastAsia="宋体"/>
                <w:kern w:val="2"/>
                <w:szCs w:val="22"/>
                <w:lang w:val="en-US" w:eastAsia="zh-CN"/>
              </w:rPr>
              <w:t>Application</w:t>
            </w:r>
            <w:r>
              <w:rPr>
                <w:rFonts w:hint="default"/>
                <w:kern w:val="2"/>
                <w:szCs w:val="22"/>
              </w:rPr>
              <w:t xml:space="preserve"> level support </w:t>
            </w:r>
            <w:r>
              <w:rPr>
                <w:rFonts w:hint="eastAsia" w:eastAsia="宋体"/>
                <w:kern w:val="2"/>
                <w:szCs w:val="22"/>
                <w:lang w:val="en-US" w:eastAsia="zh-CN"/>
              </w:rPr>
              <w:t>for</w:t>
            </w:r>
            <w:r>
              <w:rPr>
                <w:rFonts w:hint="default"/>
                <w:kern w:val="2"/>
                <w:szCs w:val="22"/>
              </w:rPr>
              <w:t xml:space="preserve"> UA</w:t>
            </w:r>
            <w:r>
              <w:rPr>
                <w:rFonts w:hint="eastAsia" w:eastAsia="宋体"/>
                <w:kern w:val="2"/>
                <w:szCs w:val="22"/>
                <w:lang w:val="en-US" w:eastAsia="zh-CN"/>
              </w:rPr>
              <w:t>S</w:t>
            </w:r>
            <w:r>
              <w:rPr>
                <w:rFonts w:hint="default"/>
                <w:kern w:val="2"/>
                <w:szCs w:val="22"/>
              </w:rPr>
              <w:t xml:space="preserve"> </w:t>
            </w:r>
            <w:r>
              <w:rPr>
                <w:rFonts w:hint="eastAsia" w:eastAsia="宋体"/>
                <w:kern w:val="2"/>
                <w:szCs w:val="22"/>
                <w:lang w:val="en-US" w:eastAsia="zh-CN"/>
              </w:rPr>
              <w:t>about</w:t>
            </w:r>
            <w:r>
              <w:rPr>
                <w:rFonts w:hint="default"/>
                <w:kern w:val="2"/>
                <w:szCs w:val="22"/>
              </w:rPr>
              <w:t xml:space="preserve"> </w:t>
            </w:r>
            <w:r>
              <w:rPr>
                <w:rFonts w:hint="eastAsia" w:eastAsia="宋体"/>
                <w:kern w:val="2"/>
                <w:szCs w:val="22"/>
                <w:lang w:val="en-US" w:eastAsia="zh-CN"/>
              </w:rPr>
              <w:t>f</w:t>
            </w:r>
            <w:r>
              <w:rPr>
                <w:rFonts w:hint="eastAsia"/>
                <w:kern w:val="2"/>
                <w:szCs w:val="22"/>
              </w:rPr>
              <w:t>unctional architecture and information flows</w:t>
            </w:r>
            <w:r>
              <w:rPr>
                <w:rFonts w:hint="default"/>
                <w:kern w:val="2"/>
                <w:szCs w:val="22"/>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rFonts w:hint="eastAsia"/>
                <w:kern w:val="2"/>
                <w:szCs w:val="22"/>
              </w:rPr>
            </w:pPr>
            <w:r>
              <w:rPr>
                <w:rFonts w:hint="default" w:ascii="Arial" w:hAnsi="Arial" w:eastAsia="Times New Roman" w:cs="Times New Roman"/>
                <w:color w:val="000000"/>
                <w:kern w:val="2"/>
                <w:sz w:val="18"/>
                <w:szCs w:val="22"/>
                <w:lang w:val="en-US" w:eastAsia="zh-CN" w:bidi="ar"/>
              </w:rPr>
              <w:t>900025</w:t>
            </w:r>
          </w:p>
        </w:tc>
        <w:tc>
          <w:tcPr>
            <w:tcW w:w="3326"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both"/>
              <w:rPr>
                <w:rFonts w:hint="default"/>
                <w:kern w:val="2"/>
                <w:szCs w:val="22"/>
                <w:lang w:val="en-US"/>
              </w:rPr>
            </w:pPr>
            <w:r>
              <w:rPr>
                <w:rFonts w:hint="default" w:ascii="Arial" w:hAnsi="Arial" w:eastAsia="Times New Roman" w:cs="Times New Roman"/>
                <w:color w:val="000000"/>
                <w:kern w:val="2"/>
                <w:sz w:val="18"/>
                <w:szCs w:val="22"/>
                <w:lang w:val="en-US" w:eastAsia="zh-CN" w:bidi="ar"/>
              </w:rPr>
              <w:t>Stage 2 of  Application layer support for Uncrewed Aerial System (UAS)</w:t>
            </w:r>
          </w:p>
        </w:tc>
        <w:tc>
          <w:tcPr>
            <w:tcW w:w="5099" w:type="dxa"/>
            <w:vAlign w:val="top"/>
          </w:tcPr>
          <w:p>
            <w:pPr>
              <w:pStyle w:val="32"/>
              <w:keepNext/>
              <w:keepLines w:val="0"/>
              <w:widowControl/>
              <w:suppressLineNumbers w:val="0"/>
              <w:overflowPunct w:val="0"/>
              <w:autoSpaceDE w:val="0"/>
              <w:autoSpaceDN w:val="0"/>
              <w:spacing w:before="0" w:beforeAutospacing="0" w:after="0" w:afterAutospacing="0"/>
              <w:ind w:left="0" w:leftChars="0" w:right="0" w:rightChars="0"/>
              <w:jc w:val="left"/>
              <w:rPr>
                <w:rFonts w:hint="default"/>
                <w:kern w:val="2"/>
                <w:szCs w:val="22"/>
              </w:rPr>
            </w:pPr>
            <w:r>
              <w:rPr>
                <w:rFonts w:hint="default" w:ascii="Arial" w:hAnsi="Arial" w:eastAsia="Times New Roman" w:cs="Times New Roman"/>
                <w:color w:val="000000"/>
                <w:kern w:val="2"/>
                <w:sz w:val="18"/>
                <w:szCs w:val="22"/>
                <w:lang w:val="en-US" w:eastAsia="zh-CN" w:bidi="ar"/>
              </w:rPr>
              <w:t xml:space="preserve">R17 SA6 WID on the Application level support for UAS </w:t>
            </w:r>
          </w:p>
        </w:tc>
      </w:tr>
    </w:tbl>
    <w:p>
      <w:pPr>
        <w:pStyle w:val="44"/>
      </w:pPr>
    </w:p>
    <w:p>
      <w:pPr>
        <w:pStyle w:val="2"/>
      </w:pPr>
      <w:r>
        <w:t>3</w:t>
      </w:r>
      <w:r>
        <w:tab/>
      </w:r>
      <w:r>
        <w:t>Justification</w:t>
      </w:r>
    </w:p>
    <w:p>
      <w:pPr>
        <w:pStyle w:val="67"/>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Uncrewed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Uncrewed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60"/>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60"/>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30"/>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60"/>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60"/>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 xml:space="preserve">by the 5GS, and requirements for the support of a network-assisted or ground-based DAA </w:t>
      </w:r>
      <w:r>
        <w:rPr>
          <w:rFonts w:hint="default"/>
          <w:lang w:val="en-US"/>
        </w:rPr>
        <w:t>can</w:t>
      </w:r>
      <w:r>
        <w:t xml:space="preserve"> be analyzed</w:t>
      </w:r>
      <w:r>
        <w:rPr>
          <w:rFonts w:hint="eastAsia"/>
        </w:rPr>
        <w:t>.</w:t>
      </w:r>
    </w:p>
    <w:p>
      <w:pPr>
        <w:pStyle w:val="60"/>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7"/>
        <w:rPr>
          <w:i w:val="0"/>
        </w:rPr>
      </w:pPr>
    </w:p>
    <w:p>
      <w:pPr>
        <w:pStyle w:val="67"/>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
      <w:pPr>
        <w:pStyle w:val="2"/>
      </w:pPr>
      <w:r>
        <w:t>4</w:t>
      </w:r>
      <w:r>
        <w:tab/>
      </w:r>
      <w:r>
        <w:t>Objective</w:t>
      </w:r>
    </w:p>
    <w:p>
      <w:pPr>
        <w:pStyle w:val="67"/>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additional use cases to meet industrial UAV applications in order to</w:t>
      </w:r>
      <w:r>
        <w:rPr>
          <w:rFonts w:hint="eastAsia" w:eastAsia="宋体"/>
          <w:i w:val="0"/>
          <w:lang w:val="en-US" w:eastAsia="zh-CN"/>
        </w:rPr>
        <w:t xml:space="preserve"> </w:t>
      </w:r>
      <w:r>
        <w:rPr>
          <w:rFonts w:eastAsia="宋体"/>
          <w:i w:val="0"/>
          <w:lang w:val="en-US" w:eastAsia="zh-CN"/>
        </w:rPr>
        <w:t xml:space="preserve">derive additional </w:t>
      </w:r>
      <w:r>
        <w:rPr>
          <w:rFonts w:hint="eastAsia"/>
          <w:i w:val="0"/>
        </w:rPr>
        <w:t xml:space="preserve">requirements </w:t>
      </w:r>
      <w:r>
        <w:rPr>
          <w:i w:val="0"/>
        </w:rPr>
        <w:t>for</w:t>
      </w:r>
      <w:r>
        <w:rPr>
          <w:rFonts w:hint="eastAsia" w:eastAsia="宋体"/>
          <w:i w:val="0"/>
          <w:lang w:val="en-US" w:eastAsia="zh-CN"/>
        </w:rPr>
        <w:t xml:space="preserve"> mobile networks </w:t>
      </w:r>
      <w:r>
        <w:rPr>
          <w:rFonts w:eastAsia="宋体"/>
          <w:i w:val="0"/>
          <w:lang w:val="en-US" w:eastAsia="zh-CN"/>
        </w:rPr>
        <w:t>to support</w:t>
      </w:r>
      <w:r>
        <w:rPr>
          <w:rFonts w:hint="eastAsia" w:eastAsia="宋体"/>
          <w:i w:val="0"/>
          <w:lang w:val="en-US" w:eastAsia="zh-CN"/>
        </w:rPr>
        <w:t xml:space="preserve"> drone operations and </w:t>
      </w:r>
      <w:r>
        <w:rPr>
          <w:rFonts w:eastAsia="宋体"/>
          <w:i w:val="0"/>
          <w:lang w:val="en-US" w:eastAsia="zh-CN"/>
        </w:rPr>
        <w:t xml:space="preserve">drone </w:t>
      </w:r>
      <w:r>
        <w:rPr>
          <w:rFonts w:hint="eastAsia" w:eastAsia="宋体"/>
          <w:i w:val="0"/>
          <w:lang w:val="en-US" w:eastAsia="zh-CN"/>
        </w:rPr>
        <w:t>management</w:t>
      </w:r>
      <w:r>
        <w:rPr>
          <w:i w:val="0"/>
        </w:rPr>
        <w:t xml:space="preserve"> . </w:t>
      </w:r>
    </w:p>
    <w:p>
      <w:r>
        <w:t xml:space="preserve">Study use cases and identify potential requirements to: </w:t>
      </w:r>
    </w:p>
    <w:p>
      <w:pPr>
        <w:pStyle w:val="60"/>
        <w:numPr>
          <w:ilvl w:val="0"/>
          <w:numId w:val="1"/>
        </w:numPr>
        <w:rPr>
          <w:rFonts w:eastAsia="宋体"/>
          <w:lang w:val="en-US" w:eastAsia="zh-CN"/>
        </w:rPr>
      </w:pPr>
      <w:r>
        <w:rPr>
          <w:rFonts w:hint="default" w:eastAsia="宋体"/>
          <w:lang w:val="en-US" w:eastAsia="zh-CN"/>
        </w:rPr>
        <w:t>P</w:t>
      </w:r>
      <w:r>
        <w:rPr>
          <w:rFonts w:eastAsia="宋体"/>
          <w:lang w:val="en-US" w:eastAsia="zh-CN"/>
        </w:rPr>
        <w:t>rovide additional information</w:t>
      </w:r>
      <w:r>
        <w:rPr>
          <w:rFonts w:hint="eastAsia" w:eastAsia="宋体"/>
          <w:lang w:val="en-US" w:eastAsia="zh-CN"/>
        </w:rPr>
        <w:t xml:space="preserve"> </w:t>
      </w:r>
      <w:r>
        <w:rPr>
          <w:rFonts w:eastAsia="宋体"/>
          <w:lang w:val="en-US" w:eastAsia="zh-CN"/>
        </w:rPr>
        <w:t>to the</w:t>
      </w:r>
      <w:r>
        <w:rPr>
          <w:rFonts w:hint="eastAsia" w:eastAsia="宋体"/>
          <w:lang w:val="en-US" w:eastAsia="zh-CN"/>
        </w:rPr>
        <w:t xml:space="preserve"> </w:t>
      </w:r>
      <w:r>
        <w:rPr>
          <w:rFonts w:eastAsia="宋体"/>
          <w:lang w:val="en-US" w:eastAsia="zh-CN"/>
        </w:rPr>
        <w:t>UAV operator/USS to execute pre-flight preparations and inflight operation</w:t>
      </w:r>
      <w:r>
        <w:rPr>
          <w:rFonts w:hint="eastAsia" w:eastAsia="宋体"/>
          <w:lang w:val="en-US" w:eastAsia="zh-CN"/>
        </w:rPr>
        <w:t xml:space="preserve"> </w:t>
      </w:r>
      <w:r>
        <w:rPr>
          <w:rFonts w:eastAsia="宋体"/>
          <w:lang w:val="en-US" w:eastAsia="zh-CN"/>
        </w:rPr>
        <w:t>(e.g, flight mission application,</w:t>
      </w:r>
      <w:r>
        <w:rPr>
          <w:rFonts w:hint="default" w:eastAsia="宋体"/>
          <w:lang w:val="en-US" w:eastAsia="zh-CN"/>
        </w:rPr>
        <w:t xml:space="preserve"> flight path recommendation,</w:t>
      </w:r>
      <w:r>
        <w:rPr>
          <w:rFonts w:eastAsia="宋体"/>
          <w:lang w:val="en-US" w:eastAsia="zh-CN"/>
        </w:rPr>
        <w:t xml:space="preserve"> flight monitoring and control)</w:t>
      </w:r>
      <w:r>
        <w:rPr>
          <w:rFonts w:hint="default" w:eastAsia="宋体"/>
          <w:lang w:val="en-US" w:eastAsia="zh-CN"/>
        </w:rPr>
        <w:t>;</w:t>
      </w:r>
    </w:p>
    <w:p>
      <w:pPr>
        <w:pStyle w:val="60"/>
        <w:numPr>
          <w:ilvl w:val="0"/>
          <w:numId w:val="1"/>
        </w:numPr>
        <w:rPr>
          <w:lang w:val="en-US" w:eastAsia="zh-CN"/>
        </w:rPr>
      </w:pPr>
      <w:r>
        <w:rPr>
          <w:rFonts w:hint="default"/>
          <w:lang w:val="en-US"/>
        </w:rPr>
        <w:t>U</w:t>
      </w:r>
      <w:r>
        <w:t xml:space="preserve">se 5G system </w:t>
      </w:r>
      <w:r>
        <w:rPr>
          <w:rFonts w:hint="eastAsia"/>
        </w:rPr>
        <w:t>to</w:t>
      </w:r>
      <w:r>
        <w:rPr>
          <w:rFonts w:hint="default"/>
          <w:lang w:val="en-US"/>
        </w:rPr>
        <w:t xml:space="preserve"> support</w:t>
      </w:r>
      <w:r>
        <w:rPr>
          <w:rFonts w:hint="eastAsia"/>
        </w:rPr>
        <w:t xml:space="preserve"> enhanc</w:t>
      </w:r>
      <w:r>
        <w:rPr>
          <w:rFonts w:hint="default"/>
          <w:lang w:val="en-US"/>
        </w:rPr>
        <w:t>ing</w:t>
      </w:r>
      <w:r>
        <w:rPr>
          <w:rFonts w:hint="eastAsia"/>
        </w:rPr>
        <w:t xml:space="preserve"> the </w:t>
      </w:r>
      <w:r>
        <w:rPr>
          <w:lang w:val="en-US" w:eastAsia="zh-CN"/>
        </w:rPr>
        <w:t>UAV flight</w:t>
      </w:r>
      <w:r>
        <w:rPr>
          <w:rFonts w:hint="default"/>
          <w:lang w:val="en-US" w:eastAsia="zh-CN"/>
        </w:rPr>
        <w:t>/route</w:t>
      </w:r>
      <w:r>
        <w:rPr>
          <w:lang w:val="en-US" w:eastAsia="zh-CN"/>
        </w:rPr>
        <w:t xml:space="preserve"> management </w:t>
      </w:r>
      <w:r>
        <w:rPr>
          <w:rFonts w:hint="default"/>
          <w:lang w:val="en-US" w:eastAsia="zh-CN"/>
        </w:rPr>
        <w:t xml:space="preserve">based on </w:t>
      </w:r>
      <w:r>
        <w:rPr>
          <w:lang w:val="en-US" w:eastAsia="zh-CN"/>
        </w:rPr>
        <w:t>network capacity and QoS information along the planned</w:t>
      </w:r>
      <w:r>
        <w:rPr>
          <w:rFonts w:hint="default"/>
          <w:lang w:val="en-US" w:eastAsia="zh-CN"/>
        </w:rPr>
        <w:t xml:space="preserve"> route;</w:t>
      </w:r>
    </w:p>
    <w:p>
      <w:pPr>
        <w:pStyle w:val="60"/>
        <w:numPr>
          <w:ilvl w:val="0"/>
          <w:numId w:val="1"/>
        </w:numPr>
        <w:rPr>
          <w:lang w:val="en-US" w:eastAsia="zh-CN"/>
        </w:rPr>
      </w:pPr>
      <w:r>
        <w:rPr>
          <w:rFonts w:hint="default"/>
          <w:lang w:val="en-US"/>
        </w:rPr>
        <w:t>U</w:t>
      </w:r>
      <w:r>
        <w:t xml:space="preserve">se 5G system </w:t>
      </w:r>
      <w:r>
        <w:rPr>
          <w:rFonts w:hint="eastAsia"/>
        </w:rPr>
        <w:t>to enhance the safety and security of drone operations</w:t>
      </w:r>
      <w:r>
        <w:rPr>
          <w:rFonts w:hint="default"/>
          <w:lang w:val="en-US"/>
        </w:rPr>
        <w:t xml:space="preserve"> (</w:t>
      </w:r>
      <w:r>
        <w:t xml:space="preserve"> </w:t>
      </w:r>
      <w:r>
        <w:rPr>
          <w:rFonts w:hint="default"/>
          <w:lang w:val="en-US"/>
        </w:rPr>
        <w:t xml:space="preserve">e.g. </w:t>
      </w:r>
      <w:r>
        <w:t xml:space="preserve">support of network-assisted or </w:t>
      </w:r>
      <w:r>
        <w:rPr>
          <w:lang w:val="en-US"/>
        </w:rPr>
        <w:t>ground-based Detect and Avoid (DAA) between networked 3GPP UAVs</w:t>
      </w:r>
      <w:r>
        <w:rPr>
          <w:rFonts w:hint="default"/>
          <w:lang w:val="en-US"/>
        </w:rPr>
        <w:t xml:space="preserve"> );</w:t>
      </w:r>
      <w:r>
        <w:rPr>
          <w:rFonts w:hint="default" w:eastAsia="Times New Roman"/>
          <w:lang w:val="en-US" w:eastAsia="zh-CN"/>
        </w:rPr>
        <w:t xml:space="preserve"> </w:t>
      </w:r>
    </w:p>
    <w:p>
      <w:pPr>
        <w:pStyle w:val="60"/>
        <w:numPr>
          <w:ilvl w:val="0"/>
          <w:numId w:val="0"/>
        </w:numPr>
        <w:ind w:right="438" w:rightChars="219"/>
        <w:rPr>
          <w:i w:val="0"/>
          <w:lang w:val="en-US"/>
        </w:rPr>
      </w:pPr>
      <w:r>
        <w:t xml:space="preserve">   </w:t>
      </w:r>
      <w:r>
        <w:rPr>
          <w:lang w:eastAsia="zh-CN"/>
        </w:rPr>
        <w:t xml:space="preserve">- </w:t>
      </w:r>
      <w:r>
        <w:rPr>
          <w:rFonts w:hint="default"/>
          <w:lang w:val="en-US" w:eastAsia="zh-CN"/>
        </w:rPr>
        <w:t xml:space="preserve"> </w:t>
      </w:r>
      <w:r>
        <w:rPr>
          <w:rFonts w:hint="default"/>
          <w:lang w:val="en-US" w:eastAsia="zh-CN"/>
        </w:rPr>
        <w:t xml:space="preserve"> </w:t>
      </w:r>
      <w:r>
        <w:rPr>
          <w:rFonts w:hint="default"/>
          <w:lang w:val="en-US" w:eastAsia="zh-CN"/>
        </w:rPr>
        <w:t>Identify</w:t>
      </w:r>
      <w:r>
        <w:rPr>
          <w:lang w:val="en-US" w:eastAsia="zh-CN"/>
        </w:rPr>
        <w:t xml:space="preserve"> </w:t>
      </w:r>
      <w:r>
        <w:rPr>
          <w:rFonts w:hint="default"/>
          <w:lang w:val="en-US" w:eastAsia="zh-CN"/>
        </w:rPr>
        <w:t>security,</w:t>
      </w:r>
      <w:r>
        <w:rPr>
          <w:lang w:val="en-US" w:eastAsia="zh-CN"/>
        </w:rPr>
        <w:t xml:space="preserve"> charging and </w:t>
      </w:r>
      <w:r>
        <w:rPr>
          <w:rFonts w:hint="default"/>
          <w:lang w:val="en-US" w:eastAsia="zh-CN"/>
        </w:rPr>
        <w:t xml:space="preserve">regulatory requirements </w:t>
      </w:r>
      <w:r>
        <w:rPr>
          <w:lang w:val="en-US" w:eastAsia="zh-CN"/>
        </w:rPr>
        <w:t>on</w:t>
      </w:r>
      <w:r>
        <w:rPr>
          <w:rFonts w:hint="default"/>
          <w:lang w:val="en-US" w:eastAsia="zh-CN"/>
        </w:rPr>
        <w:t xml:space="preserve"> </w:t>
      </w:r>
      <w:r>
        <w:rPr>
          <w:rFonts w:hint="default"/>
          <w:lang w:val="en-US" w:eastAsia="zh-CN"/>
        </w:rPr>
        <w:t xml:space="preserve">5GS </w:t>
      </w:r>
      <w:r>
        <w:rPr>
          <w:lang w:val="en-US" w:eastAsia="zh-CN"/>
        </w:rPr>
        <w:t xml:space="preserve">when used for </w:t>
      </w:r>
      <w:r>
        <w:rPr>
          <w:rFonts w:hint="default"/>
          <w:lang w:val="en-US" w:eastAsia="zh-CN"/>
        </w:rPr>
        <w:t>UAS</w:t>
      </w:r>
      <w:r>
        <w:rPr>
          <w:lang w:val="en-US" w:eastAsia="zh-CN"/>
        </w:rPr>
        <w:t xml:space="preserve"> operation</w:t>
      </w:r>
      <w:r>
        <w:rPr>
          <w:rFonts w:hint="default"/>
          <w:lang w:val="en-US" w:eastAsia="zh-CN"/>
        </w:rPr>
        <w:t>.</w:t>
      </w:r>
    </w:p>
    <w:p>
      <w:pPr>
        <w:pStyle w:val="67"/>
        <w:rPr>
          <w:rFonts w:hint="eastAsia"/>
          <w:i w:val="0"/>
          <w:lang w:val="en-US" w:eastAsia="zh-CN"/>
        </w:rPr>
      </w:pPr>
      <w:r>
        <w:t xml:space="preserve">   </w:t>
      </w:r>
      <w:r>
        <w:rPr>
          <w:lang w:eastAsia="zh-CN"/>
        </w:rPr>
        <w:t xml:space="preserve">- </w:t>
      </w:r>
      <w:r>
        <w:rPr>
          <w:rFonts w:hint="default"/>
          <w:lang w:val="en-US"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pStyle w:val="67"/>
        <w:ind w:left="0" w:leftChars="0"/>
        <w:rPr>
          <w:rFonts w:eastAsia="宋体"/>
          <w:i w:val="0"/>
          <w:lang w:val="en-US" w:eastAsia="zh-CN"/>
        </w:rPr>
      </w:pPr>
      <w:r>
        <w:rPr>
          <w:rFonts w:hint="eastAsia" w:eastAsia="宋体"/>
          <w:i w:val="0"/>
          <w:lang w:val="en-US" w:eastAsia="zh-CN"/>
        </w:rPr>
        <w:t xml:space="preserve">Note: </w:t>
      </w:r>
      <w:r>
        <w:rPr>
          <w:rFonts w:hint="default" w:eastAsia="宋体"/>
          <w:i w:val="0"/>
          <w:lang w:val="en-US" w:eastAsia="zh-CN"/>
        </w:rPr>
        <w:t>T</w:t>
      </w:r>
      <w:r>
        <w:rPr>
          <w:rFonts w:hint="eastAsia" w:eastAsia="宋体"/>
          <w:i w:val="0"/>
          <w:lang w:val="en-US" w:eastAsia="zh-CN"/>
        </w:rPr>
        <w:t>his study would provide additional capabilities of 5GS to assist UTM, but liability/legal responsibility for drones operation stays with UTM/drone operator.</w:t>
      </w:r>
    </w:p>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Type </w:t>
            </w:r>
          </w:p>
        </w:tc>
        <w:tc>
          <w:tcPr>
            <w:tcW w:w="1134"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TS/TR number</w:t>
            </w:r>
          </w:p>
        </w:tc>
        <w:tc>
          <w:tcPr>
            <w:tcW w:w="2409"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Title</w:t>
            </w:r>
          </w:p>
        </w:tc>
        <w:tc>
          <w:tcPr>
            <w:tcW w:w="1045"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For info </w:t>
            </w:r>
            <w:r>
              <w:rPr>
                <w:rFonts w:hint="default"/>
                <w:kern w:val="2"/>
                <w:szCs w:val="22"/>
              </w:rPr>
              <w:br w:type="textWrapping"/>
            </w:r>
            <w:r>
              <w:rPr>
                <w:rFonts w:hint="default"/>
                <w:kern w:val="2"/>
                <w:szCs w:val="22"/>
              </w:rPr>
              <w:t xml:space="preserve">at TSG# </w:t>
            </w:r>
          </w:p>
        </w:tc>
        <w:tc>
          <w:tcPr>
            <w:tcW w:w="1331"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For approval at TSG#</w:t>
            </w:r>
          </w:p>
        </w:tc>
        <w:tc>
          <w:tcPr>
            <w:tcW w:w="1877" w:type="dxa"/>
            <w:shd w:val="clear" w:color="auto" w:fill="D9D9D9"/>
            <w:tcMar>
              <w:left w:w="57" w:type="dxa"/>
              <w:right w:w="57" w:type="dxa"/>
            </w:tcMar>
          </w:tcPr>
          <w:p>
            <w:pPr>
              <w:pStyle w:val="34"/>
              <w:widowControl/>
              <w:suppressLineNumbers w:val="0"/>
              <w:spacing w:before="0" w:beforeAutospacing="0" w:afterAutospacing="0"/>
              <w:ind w:left="0" w:right="0"/>
              <w:rPr>
                <w:rFonts w:hint="default"/>
                <w:kern w:val="2"/>
                <w:szCs w:val="22"/>
              </w:rPr>
            </w:pPr>
            <w:r>
              <w:rPr>
                <w:rFonts w:hint="default"/>
                <w:kern w:val="2"/>
                <w:szCs w:val="22"/>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default"/>
                <w:kern w:val="2"/>
                <w:sz w:val="18"/>
                <w:szCs w:val="22"/>
                <w:lang w:eastAsia="zh-CN"/>
              </w:rPr>
              <w:t>“Internal TR”</w:t>
            </w:r>
          </w:p>
        </w:tc>
        <w:tc>
          <w:tcPr>
            <w:tcW w:w="1134"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2</w:t>
            </w:r>
            <w:r>
              <w:rPr>
                <w:rFonts w:hint="default"/>
                <w:kern w:val="2"/>
                <w:sz w:val="18"/>
                <w:szCs w:val="22"/>
                <w:lang w:eastAsia="zh-CN"/>
              </w:rPr>
              <w:t>2.XXX</w:t>
            </w:r>
          </w:p>
        </w:tc>
        <w:tc>
          <w:tcPr>
            <w:tcW w:w="2409"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S</w:t>
            </w:r>
            <w:r>
              <w:rPr>
                <w:rFonts w:hint="default"/>
                <w:kern w:val="2"/>
                <w:sz w:val="18"/>
                <w:szCs w:val="22"/>
                <w:lang w:eastAsia="zh-CN"/>
              </w:rPr>
              <w:t xml:space="preserve">tudy on </w:t>
            </w:r>
            <w:r>
              <w:rPr>
                <w:rFonts w:hint="eastAsia"/>
                <w:kern w:val="2"/>
                <w:sz w:val="18"/>
                <w:szCs w:val="22"/>
                <w:lang w:eastAsia="zh-CN"/>
              </w:rPr>
              <w:t>on Additional capabilities of mobile networks for drone operations and management</w:t>
            </w:r>
            <w:r>
              <w:rPr>
                <w:rFonts w:hint="default"/>
                <w:kern w:val="2"/>
                <w:sz w:val="18"/>
                <w:szCs w:val="22"/>
                <w:lang w:eastAsia="zh-CN"/>
              </w:rPr>
              <w:t>s</w:t>
            </w:r>
          </w:p>
        </w:tc>
        <w:tc>
          <w:tcPr>
            <w:tcW w:w="1045"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Dec </w:t>
            </w:r>
            <w:r>
              <w:rPr>
                <w:rFonts w:hint="default"/>
                <w:kern w:val="2"/>
                <w:sz w:val="18"/>
                <w:szCs w:val="22"/>
                <w:lang w:eastAsia="zh-CN"/>
              </w:rPr>
              <w:t>2022)</w:t>
            </w:r>
          </w:p>
        </w:tc>
        <w:tc>
          <w:tcPr>
            <w:tcW w:w="1331" w:type="dxa"/>
          </w:tcPr>
          <w:p>
            <w:pPr>
              <w:keepNext w:val="0"/>
              <w:keepLines w:val="0"/>
              <w:widowControl/>
              <w:suppressLineNumbers w:val="0"/>
              <w:spacing w:before="0" w:beforeAutospacing="0" w:after="0" w:afterAutospacing="0"/>
              <w:ind w:left="0" w:right="0"/>
              <w:rPr>
                <w:rFonts w:hint="default"/>
                <w:color w:val="FF0000"/>
                <w:kern w:val="2"/>
                <w:sz w:val="21"/>
                <w:szCs w:val="22"/>
              </w:rPr>
            </w:pPr>
            <w:r>
              <w:rPr>
                <w:rFonts w:hint="eastAsia"/>
                <w:kern w:val="2"/>
                <w:sz w:val="18"/>
                <w:szCs w:val="22"/>
                <w:lang w:eastAsia="zh-CN"/>
              </w:rPr>
              <w:t>(</w:t>
            </w:r>
            <w:r>
              <w:rPr>
                <w:rFonts w:hint="eastAsia"/>
                <w:kern w:val="2"/>
                <w:sz w:val="18"/>
                <w:szCs w:val="22"/>
                <w:lang w:val="en-US" w:eastAsia="zh-CN"/>
              </w:rPr>
              <w:t xml:space="preserve">Mar </w:t>
            </w:r>
            <w:r>
              <w:rPr>
                <w:rFonts w:hint="default"/>
                <w:kern w:val="2"/>
                <w:sz w:val="18"/>
                <w:szCs w:val="22"/>
                <w:lang w:eastAsia="zh-CN"/>
              </w:rPr>
              <w:t>202</w:t>
            </w:r>
            <w:r>
              <w:rPr>
                <w:rFonts w:hint="eastAsia"/>
                <w:kern w:val="2"/>
                <w:sz w:val="18"/>
                <w:szCs w:val="22"/>
                <w:lang w:val="en-US" w:eastAsia="zh-CN"/>
              </w:rPr>
              <w:t>3</w:t>
            </w:r>
            <w:r>
              <w:rPr>
                <w:rFonts w:hint="default"/>
                <w:kern w:val="2"/>
                <w:sz w:val="18"/>
                <w:szCs w:val="22"/>
                <w:lang w:eastAsia="zh-CN"/>
              </w:rPr>
              <w:t>)</w:t>
            </w:r>
          </w:p>
        </w:tc>
        <w:tc>
          <w:tcPr>
            <w:tcW w:w="1877" w:type="dxa"/>
          </w:tcPr>
          <w:p>
            <w:pPr>
              <w:keepNext w:val="0"/>
              <w:keepLines w:val="0"/>
              <w:widowControl/>
              <w:suppressLineNumbers w:val="0"/>
              <w:spacing w:before="0" w:beforeAutospacing="0" w:after="0" w:afterAutospacing="0"/>
              <w:ind w:left="0" w:right="0"/>
              <w:rPr>
                <w:rFonts w:hint="default"/>
                <w:color w:val="FF0000"/>
                <w:kern w:val="2"/>
                <w:sz w:val="21"/>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2"/>
              <w:widowControl/>
              <w:suppressLineNumbers w:val="0"/>
              <w:spacing w:before="0" w:beforeAutospacing="0" w:afterAutospacing="0"/>
              <w:ind w:left="0" w:right="0"/>
              <w:rPr>
                <w:rFonts w:hint="default"/>
                <w:kern w:val="2"/>
                <w:szCs w:val="22"/>
              </w:rPr>
            </w:pPr>
          </w:p>
        </w:tc>
        <w:tc>
          <w:tcPr>
            <w:tcW w:w="1134" w:type="dxa"/>
          </w:tcPr>
          <w:p>
            <w:pPr>
              <w:pStyle w:val="32"/>
              <w:widowControl/>
              <w:suppressLineNumbers w:val="0"/>
              <w:spacing w:before="0" w:beforeAutospacing="0" w:afterAutospacing="0"/>
              <w:ind w:left="0" w:right="0"/>
              <w:rPr>
                <w:rFonts w:hint="default"/>
                <w:kern w:val="2"/>
                <w:szCs w:val="22"/>
              </w:rPr>
            </w:pPr>
          </w:p>
        </w:tc>
        <w:tc>
          <w:tcPr>
            <w:tcW w:w="2409" w:type="dxa"/>
          </w:tcPr>
          <w:p>
            <w:pPr>
              <w:pStyle w:val="32"/>
              <w:widowControl/>
              <w:suppressLineNumbers w:val="0"/>
              <w:spacing w:before="0" w:beforeAutospacing="0" w:afterAutospacing="0"/>
              <w:ind w:left="0" w:right="0"/>
              <w:rPr>
                <w:rFonts w:hint="default"/>
                <w:kern w:val="2"/>
                <w:szCs w:val="22"/>
              </w:rPr>
            </w:pPr>
          </w:p>
        </w:tc>
        <w:tc>
          <w:tcPr>
            <w:tcW w:w="1045" w:type="dxa"/>
          </w:tcPr>
          <w:p>
            <w:pPr>
              <w:pStyle w:val="32"/>
              <w:widowControl/>
              <w:suppressLineNumbers w:val="0"/>
              <w:spacing w:before="0" w:beforeAutospacing="0" w:afterAutospacing="0"/>
              <w:ind w:left="0" w:right="0"/>
              <w:rPr>
                <w:rFonts w:hint="default"/>
                <w:kern w:val="2"/>
                <w:szCs w:val="22"/>
              </w:rPr>
            </w:pPr>
          </w:p>
        </w:tc>
        <w:tc>
          <w:tcPr>
            <w:tcW w:w="1331" w:type="dxa"/>
          </w:tcPr>
          <w:p>
            <w:pPr>
              <w:pStyle w:val="32"/>
              <w:widowControl/>
              <w:suppressLineNumbers w:val="0"/>
              <w:spacing w:before="0" w:beforeAutospacing="0" w:afterAutospacing="0"/>
              <w:ind w:left="0" w:right="0"/>
              <w:rPr>
                <w:rFonts w:hint="default"/>
                <w:kern w:val="2"/>
                <w:szCs w:val="22"/>
              </w:rPr>
            </w:pPr>
          </w:p>
        </w:tc>
        <w:tc>
          <w:tcPr>
            <w:tcW w:w="1877" w:type="dxa"/>
          </w:tcPr>
          <w:p>
            <w:pPr>
              <w:pStyle w:val="32"/>
              <w:widowControl/>
              <w:suppressLineNumbers w:val="0"/>
              <w:spacing w:before="0" w:beforeAutospacing="0" w:afterAutospacing="0"/>
              <w:ind w:left="0" w:right="0"/>
              <w:rPr>
                <w:rFonts w:hint="default"/>
                <w:kern w:val="2"/>
                <w:szCs w:val="22"/>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4344"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1417"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c>
          <w:tcPr>
            <w:tcW w:w="2101" w:type="dxa"/>
            <w:tcBorders>
              <w:top w:val="single" w:color="auto" w:sz="4" w:space="0"/>
              <w:left w:val="single" w:color="auto" w:sz="4" w:space="0"/>
              <w:bottom w:val="single" w:color="auto" w:sz="4" w:space="0"/>
              <w:right w:val="single" w:color="auto" w:sz="4" w:space="0"/>
            </w:tcBorders>
          </w:tcPr>
          <w:p>
            <w:pPr>
              <w:pStyle w:val="67"/>
              <w:keepNext w:val="0"/>
              <w:keepLines w:val="0"/>
              <w:widowControl/>
              <w:suppressLineNumbers w:val="0"/>
              <w:spacing w:before="0" w:beforeAutospacing="0" w:after="0" w:afterAutospacing="0"/>
              <w:ind w:left="0" w:right="0"/>
              <w:rPr>
                <w:rFonts w:hint="default"/>
                <w:color w:val="FF0000"/>
                <w:kern w:val="2"/>
                <w:sz w:val="21"/>
                <w:szCs w:val="22"/>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4"/>
              <w:widowControl/>
              <w:suppressLineNumbers w:val="0"/>
              <w:spacing w:before="0" w:beforeAutospacing="0" w:afterAutospacing="0"/>
              <w:ind w:left="0" w:right="0"/>
              <w:rPr>
                <w:rFonts w:hint="default"/>
                <w:kern w:val="2"/>
                <w:szCs w:val="22"/>
              </w:rPr>
            </w:pPr>
            <w:r>
              <w:rPr>
                <w:rFonts w:hint="default"/>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eastAsia="宋体"/>
                <w:kern w:val="2"/>
                <w:szCs w:val="22"/>
                <w:lang w:val="en-US" w:eastAsia="zh-CN"/>
              </w:rPr>
            </w:pPr>
            <w:r>
              <w:rPr>
                <w:rFonts w:hint="eastAsia" w:eastAsia="宋体"/>
                <w:kern w:val="2"/>
                <w:szCs w:val="22"/>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eastAsia="宋体"/>
                <w:kern w:val="2"/>
                <w:szCs w:val="22"/>
                <w:lang w:val="en-US" w:eastAsia="zh-CN"/>
              </w:rPr>
            </w:pPr>
            <w:r>
              <w:rPr>
                <w:rFonts w:hint="eastAsia" w:eastAsia="宋体"/>
                <w:kern w:val="2"/>
                <w:szCs w:val="22"/>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eastAsia" w:eastAsia="宋体"/>
                <w:kern w:val="2"/>
                <w:szCs w:val="22"/>
                <w:lang w:val="en-US" w:eastAsia="zh-CN"/>
              </w:rPr>
            </w:pPr>
            <w:r>
              <w:rPr>
                <w:rFonts w:hint="default"/>
                <w:color w:val="000000" w:themeColor="text1"/>
                <w:kern w:val="2"/>
                <w:szCs w:val="22"/>
                <w14:textFill>
                  <w14:solidFill>
                    <w14:schemeClr w14:val="tx1"/>
                  </w14:solidFill>
                </w14:textFill>
              </w:rPr>
              <w:t>Qualcomm</w:t>
            </w:r>
            <w:r>
              <w:rPr>
                <w:rFonts w:hint="eastAsia" w:eastAsia="宋体"/>
                <w:color w:val="000000" w:themeColor="text1"/>
                <w:kern w:val="2"/>
                <w:szCs w:val="22"/>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eastAsia="宋体"/>
                <w:kern w:val="2"/>
                <w:szCs w:val="22"/>
                <w:lang w:val="en-US" w:eastAsia="zh-CN"/>
              </w:rPr>
            </w:pPr>
            <w:r>
              <w:rPr>
                <w:rFonts w:hint="eastAsia" w:eastAsia="宋体"/>
                <w:kern w:val="2"/>
                <w:szCs w:val="22"/>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eastAsia="宋体"/>
                <w:kern w:val="2"/>
                <w:szCs w:val="22"/>
                <w:lang w:val="en-US" w:eastAsia="zh-CN"/>
              </w:rPr>
            </w:pPr>
            <w:r>
              <w:rPr>
                <w:rFonts w:hint="eastAsia" w:eastAsia="宋体"/>
                <w:kern w:val="2"/>
                <w:szCs w:val="22"/>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kern w:val="2"/>
                <w:szCs w:val="22"/>
                <w:lang w:val="en-US"/>
              </w:rPr>
            </w:pPr>
            <w:r>
              <w:rPr>
                <w:rFonts w:hint="default"/>
                <w:kern w:val="2"/>
                <w:szCs w:val="22"/>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kern w:val="2"/>
                <w:szCs w:val="22"/>
                <w:lang w:val="en-US"/>
              </w:rPr>
            </w:pPr>
            <w:r>
              <w:rPr>
                <w:rFonts w:hint="eastAsia"/>
                <w:kern w:val="2"/>
                <w:szCs w:val="22"/>
                <w:lang w:val="en-US"/>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kern w:val="2"/>
                <w:szCs w:val="22"/>
                <w:lang w:val="en-US"/>
              </w:rPr>
            </w:pPr>
            <w:r>
              <w:rPr>
                <w:rFonts w:hint="eastAsia"/>
                <w:kern w:val="2"/>
                <w:szCs w:val="22"/>
                <w:lang w:val="en-US"/>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kern w:val="2"/>
                <w:szCs w:val="22"/>
                <w:lang w:val="en-US"/>
              </w:rPr>
            </w:pPr>
            <w:r>
              <w:rPr>
                <w:rFonts w:hint="eastAsia"/>
                <w:kern w:val="2"/>
                <w:szCs w:val="22"/>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eastAsia="宋体"/>
                <w:kern w:val="2"/>
                <w:szCs w:val="22"/>
                <w:lang w:val="en-US" w:eastAsia="zh-CN"/>
              </w:rPr>
            </w:pPr>
            <w:r>
              <w:rPr>
                <w:rFonts w:hint="eastAsia"/>
                <w:kern w:val="2"/>
                <w:szCs w:val="22"/>
                <w:lang w:val="en-US"/>
              </w:rPr>
              <w:t>SyncTechno Inc</w:t>
            </w:r>
            <w:r>
              <w:rPr>
                <w:rFonts w:hint="default"/>
                <w:kern w:val="2"/>
                <w:szCs w:val="22"/>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left"/>
              <w:rPr>
                <w:rFonts w:hint="default"/>
                <w:kern w:val="2"/>
                <w:szCs w:val="22"/>
                <w:lang w:val="en-US"/>
              </w:rPr>
            </w:pPr>
            <w:r>
              <w:rPr>
                <w:rFonts w:hint="eastAsia" w:ascii="Arial" w:hAnsi="Arial" w:eastAsia="宋体" w:cs="Times New Roman"/>
                <w:kern w:val="2"/>
                <w:sz w:val="18"/>
                <w:szCs w:val="22"/>
                <w:lang w:val="en-US" w:eastAsia="zh-CN" w:bidi="ar"/>
              </w:rPr>
              <w:t>ETRI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2"/>
              <w:widowControl/>
              <w:suppressLineNumbers w:val="0"/>
              <w:spacing w:before="0" w:beforeAutospacing="0" w:afterAutospacing="0"/>
              <w:ind w:left="0" w:right="0"/>
              <w:jc w:val="center"/>
              <w:rPr>
                <w:rFonts w:hint="default"/>
                <w:kern w:val="2"/>
                <w:szCs w:val="22"/>
                <w:lang w:val="en-US"/>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9E5F5F"/>
    <w:rsid w:val="01E57883"/>
    <w:rsid w:val="02613106"/>
    <w:rsid w:val="029B7412"/>
    <w:rsid w:val="03334657"/>
    <w:rsid w:val="03AF4B72"/>
    <w:rsid w:val="04715E3A"/>
    <w:rsid w:val="061B6F0E"/>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EF12B1E"/>
    <w:rsid w:val="0F746059"/>
    <w:rsid w:val="0FA44DE4"/>
    <w:rsid w:val="0FBC6B9D"/>
    <w:rsid w:val="10E977C7"/>
    <w:rsid w:val="11462245"/>
    <w:rsid w:val="125C7921"/>
    <w:rsid w:val="12CC24E7"/>
    <w:rsid w:val="130918DC"/>
    <w:rsid w:val="136E064F"/>
    <w:rsid w:val="13EB13E3"/>
    <w:rsid w:val="14683DC0"/>
    <w:rsid w:val="14787FCC"/>
    <w:rsid w:val="14E5261D"/>
    <w:rsid w:val="14FD6DD2"/>
    <w:rsid w:val="154E55C7"/>
    <w:rsid w:val="15557E90"/>
    <w:rsid w:val="15CD14C3"/>
    <w:rsid w:val="161A7D3A"/>
    <w:rsid w:val="161E190A"/>
    <w:rsid w:val="16550076"/>
    <w:rsid w:val="17C22FB6"/>
    <w:rsid w:val="17DF741F"/>
    <w:rsid w:val="184563B3"/>
    <w:rsid w:val="191B1F0D"/>
    <w:rsid w:val="192E7015"/>
    <w:rsid w:val="19D66546"/>
    <w:rsid w:val="1A6A5301"/>
    <w:rsid w:val="1A7E5EF6"/>
    <w:rsid w:val="1C2A08DE"/>
    <w:rsid w:val="1D4F0378"/>
    <w:rsid w:val="1D566640"/>
    <w:rsid w:val="1D7D0C3F"/>
    <w:rsid w:val="1E2C2634"/>
    <w:rsid w:val="1F97567D"/>
    <w:rsid w:val="20C408D2"/>
    <w:rsid w:val="215500F3"/>
    <w:rsid w:val="22103621"/>
    <w:rsid w:val="22555462"/>
    <w:rsid w:val="22A75D6E"/>
    <w:rsid w:val="237533D2"/>
    <w:rsid w:val="2378419A"/>
    <w:rsid w:val="24556BE3"/>
    <w:rsid w:val="24872BF2"/>
    <w:rsid w:val="24DD58DB"/>
    <w:rsid w:val="25B21414"/>
    <w:rsid w:val="25FD589C"/>
    <w:rsid w:val="26305B3A"/>
    <w:rsid w:val="270C0769"/>
    <w:rsid w:val="271B01B6"/>
    <w:rsid w:val="274C1D4F"/>
    <w:rsid w:val="28E56407"/>
    <w:rsid w:val="29077536"/>
    <w:rsid w:val="293E11E3"/>
    <w:rsid w:val="2A7F4333"/>
    <w:rsid w:val="2AB659D3"/>
    <w:rsid w:val="2C22627F"/>
    <w:rsid w:val="2C313695"/>
    <w:rsid w:val="2C635E29"/>
    <w:rsid w:val="2D7235B0"/>
    <w:rsid w:val="2D81372F"/>
    <w:rsid w:val="2D833F9D"/>
    <w:rsid w:val="2DC6094B"/>
    <w:rsid w:val="2DCC749F"/>
    <w:rsid w:val="2DCE682C"/>
    <w:rsid w:val="2EE45FD9"/>
    <w:rsid w:val="2F7652D9"/>
    <w:rsid w:val="2F8348AD"/>
    <w:rsid w:val="2FC00131"/>
    <w:rsid w:val="32A15AE4"/>
    <w:rsid w:val="330969CC"/>
    <w:rsid w:val="33BA75E0"/>
    <w:rsid w:val="35060B03"/>
    <w:rsid w:val="35164162"/>
    <w:rsid w:val="35ED089A"/>
    <w:rsid w:val="37132E88"/>
    <w:rsid w:val="371E2445"/>
    <w:rsid w:val="373822B2"/>
    <w:rsid w:val="376B03D8"/>
    <w:rsid w:val="379467FA"/>
    <w:rsid w:val="379A4A9F"/>
    <w:rsid w:val="38C16D02"/>
    <w:rsid w:val="391F51D8"/>
    <w:rsid w:val="3B9C68B2"/>
    <w:rsid w:val="3C424B6B"/>
    <w:rsid w:val="3D132908"/>
    <w:rsid w:val="3D4F275D"/>
    <w:rsid w:val="3D7F364E"/>
    <w:rsid w:val="3DCB7626"/>
    <w:rsid w:val="3E5876F7"/>
    <w:rsid w:val="3F573ADB"/>
    <w:rsid w:val="4015781D"/>
    <w:rsid w:val="41067F1C"/>
    <w:rsid w:val="41E05BD0"/>
    <w:rsid w:val="422448E4"/>
    <w:rsid w:val="42963769"/>
    <w:rsid w:val="42CA2C93"/>
    <w:rsid w:val="436F5323"/>
    <w:rsid w:val="440A691A"/>
    <w:rsid w:val="445E74B6"/>
    <w:rsid w:val="45044816"/>
    <w:rsid w:val="45FA32B7"/>
    <w:rsid w:val="467A686D"/>
    <w:rsid w:val="46991A4A"/>
    <w:rsid w:val="47CC715A"/>
    <w:rsid w:val="49687174"/>
    <w:rsid w:val="496D2D37"/>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E840DF"/>
    <w:rsid w:val="53F4743C"/>
    <w:rsid w:val="54BB1B1B"/>
    <w:rsid w:val="552A3BDB"/>
    <w:rsid w:val="55556E7B"/>
    <w:rsid w:val="55901705"/>
    <w:rsid w:val="571E6ACF"/>
    <w:rsid w:val="573932B7"/>
    <w:rsid w:val="57DC6522"/>
    <w:rsid w:val="58BE0008"/>
    <w:rsid w:val="59AD0E25"/>
    <w:rsid w:val="59C304FE"/>
    <w:rsid w:val="5A2B01B6"/>
    <w:rsid w:val="5BF26DE6"/>
    <w:rsid w:val="5C5255D5"/>
    <w:rsid w:val="5D3A2BFC"/>
    <w:rsid w:val="5E9A2D1C"/>
    <w:rsid w:val="5EF013ED"/>
    <w:rsid w:val="5F6962E8"/>
    <w:rsid w:val="5F81384A"/>
    <w:rsid w:val="5FE835BF"/>
    <w:rsid w:val="5FF56EC8"/>
    <w:rsid w:val="60B2738E"/>
    <w:rsid w:val="612B484C"/>
    <w:rsid w:val="622F2932"/>
    <w:rsid w:val="6265616C"/>
    <w:rsid w:val="63A679E5"/>
    <w:rsid w:val="63CD5F48"/>
    <w:rsid w:val="63E851EC"/>
    <w:rsid w:val="64B877D5"/>
    <w:rsid w:val="672831EB"/>
    <w:rsid w:val="67356F6E"/>
    <w:rsid w:val="67627556"/>
    <w:rsid w:val="678B51E0"/>
    <w:rsid w:val="687573C9"/>
    <w:rsid w:val="6891756F"/>
    <w:rsid w:val="68D33FDD"/>
    <w:rsid w:val="6A5554FF"/>
    <w:rsid w:val="6AB12497"/>
    <w:rsid w:val="6C390D2F"/>
    <w:rsid w:val="6C866E1E"/>
    <w:rsid w:val="6CDA3B5E"/>
    <w:rsid w:val="6D3924B4"/>
    <w:rsid w:val="6D9F53C1"/>
    <w:rsid w:val="6EAB4504"/>
    <w:rsid w:val="6F234BF5"/>
    <w:rsid w:val="6F3A2241"/>
    <w:rsid w:val="704D3F7A"/>
    <w:rsid w:val="71A01BCC"/>
    <w:rsid w:val="71B44AC6"/>
    <w:rsid w:val="71EC5915"/>
    <w:rsid w:val="72A43053"/>
    <w:rsid w:val="72C0050A"/>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CCB65DA"/>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0"/>
    <w:qFormat/>
    <w:uiPriority w:val="0"/>
  </w:style>
  <w:style w:type="paragraph" w:styleId="20">
    <w:name w:val="Body Text"/>
    <w:basedOn w:val="1"/>
    <w:link w:val="68"/>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9"/>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qFormat/>
    <w:uiPriority w:val="0"/>
    <w:rPr>
      <w:sz w:val="24"/>
    </w:rPr>
  </w:style>
  <w:style w:type="paragraph" w:styleId="27">
    <w:name w:val="annotation subject"/>
    <w:basedOn w:val="19"/>
    <w:next w:val="19"/>
    <w:link w:val="71"/>
    <w:qFormat/>
    <w:uiPriority w:val="0"/>
    <w:rPr>
      <w:b/>
      <w:bCs/>
    </w:rPr>
  </w:style>
  <w:style w:type="character" w:styleId="30">
    <w:name w:val="Strong"/>
    <w:basedOn w:val="29"/>
    <w:qFormat/>
    <w:uiPriority w:val="22"/>
    <w:rPr>
      <w:b/>
      <w:bCs/>
    </w:rPr>
  </w:style>
  <w:style w:type="character" w:styleId="31">
    <w:name w:val="annotation reference"/>
    <w:basedOn w:val="29"/>
    <w:qFormat/>
    <w:uiPriority w:val="0"/>
    <w:rPr>
      <w:sz w:val="21"/>
      <w:szCs w:val="21"/>
    </w:rPr>
  </w:style>
  <w:style w:type="paragraph" w:customStyle="1" w:styleId="32">
    <w:name w:val="TAL"/>
    <w:basedOn w:val="1"/>
    <w:qFormat/>
    <w:uiPriority w:val="0"/>
    <w:pPr>
      <w:keepNext/>
      <w:keepLines/>
      <w:spacing w:after="0"/>
    </w:pPr>
    <w:rPr>
      <w:rFonts w:ascii="Arial" w:hAnsi="Arial"/>
      <w:sz w:val="18"/>
    </w:rPr>
  </w:style>
  <w:style w:type="paragraph" w:customStyle="1" w:styleId="33">
    <w:name w:val="Heading"/>
    <w:basedOn w:val="1"/>
    <w:qFormat/>
    <w:uiPriority w:val="0"/>
    <w:pPr>
      <w:widowControl w:val="0"/>
      <w:spacing w:after="120" w:line="240" w:lineRule="atLeast"/>
      <w:ind w:left="1260" w:hanging="551"/>
    </w:pPr>
    <w:rPr>
      <w:rFonts w:ascii="Arial" w:hAnsi="Arial"/>
      <w:b/>
      <w:sz w:val="22"/>
    </w:rPr>
  </w:style>
  <w:style w:type="paragraph" w:customStyle="1" w:styleId="34">
    <w:name w:val="TAH"/>
    <w:basedOn w:val="35"/>
    <w:qFormat/>
    <w:uiPriority w:val="0"/>
    <w:rPr>
      <w:b/>
    </w:rPr>
  </w:style>
  <w:style w:type="paragraph" w:customStyle="1" w:styleId="35">
    <w:name w:val="TAC"/>
    <w:basedOn w:val="32"/>
    <w:qFormat/>
    <w:uiPriority w:val="0"/>
    <w:pPr>
      <w:jc w:val="center"/>
    </w:pPr>
  </w:style>
  <w:style w:type="paragraph" w:customStyle="1" w:styleId="36">
    <w:name w:val="HE"/>
    <w:basedOn w:val="1"/>
    <w:qFormat/>
    <w:uiPriority w:val="0"/>
    <w:rPr>
      <w:rFonts w:ascii="Arial" w:hAnsi="Arial"/>
      <w:b/>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9">
    <w:name w:val="TT"/>
    <w:basedOn w:val="2"/>
    <w:next w:val="1"/>
    <w:qFormat/>
    <w:uiPriority w:val="0"/>
    <w:pPr>
      <w:outlineLvl w:val="9"/>
    </w:pPr>
  </w:style>
  <w:style w:type="paragraph" w:customStyle="1" w:styleId="40">
    <w:name w:val="TF"/>
    <w:basedOn w:val="41"/>
    <w:qFormat/>
    <w:uiPriority w:val="0"/>
    <w:pPr>
      <w:keepNext w:val="0"/>
      <w:spacing w:before="0" w:after="240"/>
    </w:pPr>
  </w:style>
  <w:style w:type="paragraph" w:customStyle="1" w:styleId="41">
    <w:name w:val="TH"/>
    <w:basedOn w:val="1"/>
    <w:link w:val="66"/>
    <w:qFormat/>
    <w:uiPriority w:val="0"/>
    <w:pPr>
      <w:keepNext/>
      <w:keepLines/>
      <w:spacing w:before="60"/>
      <w:jc w:val="center"/>
    </w:pPr>
    <w:rPr>
      <w:rFonts w:ascii="Arial" w:hAnsi="Arial"/>
      <w:b/>
    </w:rPr>
  </w:style>
  <w:style w:type="paragraph" w:customStyle="1" w:styleId="42">
    <w:name w:val="NO"/>
    <w:basedOn w:val="1"/>
    <w:qFormat/>
    <w:uiPriority w:val="0"/>
    <w:pPr>
      <w:keepLines/>
      <w:ind w:left="1135" w:hanging="851"/>
    </w:p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1">
    <w:name w:val="TAR"/>
    <w:basedOn w:val="32"/>
    <w:qFormat/>
    <w:uiPriority w:val="0"/>
    <w:pPr>
      <w:jc w:val="right"/>
    </w:pPr>
  </w:style>
  <w:style w:type="paragraph" w:customStyle="1" w:styleId="52">
    <w:name w:val="TAN"/>
    <w:basedOn w:val="32"/>
    <w:qFormat/>
    <w:uiPriority w:val="0"/>
    <w:pPr>
      <w:ind w:left="851" w:hanging="851"/>
    </w:pPr>
  </w:style>
  <w:style w:type="paragraph" w:customStyle="1" w:styleId="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7">
    <w:name w:val="ZV"/>
    <w:basedOn w:val="56"/>
    <w:qFormat/>
    <w:uiPriority w:val="0"/>
    <w:pPr>
      <w:framePr w:y="16161"/>
    </w:pPr>
  </w:style>
  <w:style w:type="character" w:customStyle="1" w:styleId="58">
    <w:name w:val="ZGSM"/>
    <w:qFormat/>
    <w:uiPriority w:val="0"/>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0">
    <w:name w:val="B1"/>
    <w:basedOn w:val="1"/>
    <w:qFormat/>
    <w:uiPriority w:val="0"/>
    <w:pPr>
      <w:ind w:left="568" w:hanging="284"/>
    </w:p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character" w:customStyle="1" w:styleId="66">
    <w:name w:val="TH Char"/>
    <w:link w:val="41"/>
    <w:qFormat/>
    <w:uiPriority w:val="0"/>
    <w:rPr>
      <w:rFonts w:ascii="Arial" w:hAnsi="Arial"/>
      <w:b/>
      <w:color w:val="000000"/>
      <w:lang w:eastAsia="ja-JP"/>
    </w:rPr>
  </w:style>
  <w:style w:type="paragraph" w:customStyle="1" w:styleId="67">
    <w:name w:val="Guidance"/>
    <w:basedOn w:val="1"/>
    <w:qFormat/>
    <w:uiPriority w:val="0"/>
    <w:rPr>
      <w:i/>
    </w:rPr>
  </w:style>
  <w:style w:type="character" w:customStyle="1" w:styleId="68">
    <w:name w:val="Body Text Char"/>
    <w:basedOn w:val="29"/>
    <w:link w:val="20"/>
    <w:qFormat/>
    <w:uiPriority w:val="0"/>
    <w:rPr>
      <w:i/>
      <w:color w:val="000000"/>
      <w:lang w:val="en-US" w:eastAsia="ja-JP"/>
    </w:rPr>
  </w:style>
  <w:style w:type="character" w:customStyle="1" w:styleId="69">
    <w:name w:val="Balloon Text Char"/>
    <w:basedOn w:val="29"/>
    <w:link w:val="22"/>
    <w:qFormat/>
    <w:uiPriority w:val="0"/>
    <w:rPr>
      <w:rFonts w:eastAsia="Times New Roman"/>
      <w:color w:val="000000"/>
      <w:sz w:val="18"/>
      <w:szCs w:val="18"/>
      <w:lang w:val="en-GB" w:eastAsia="ja-JP"/>
    </w:rPr>
  </w:style>
  <w:style w:type="character" w:customStyle="1" w:styleId="70">
    <w:name w:val="Comment Text Char"/>
    <w:basedOn w:val="29"/>
    <w:link w:val="19"/>
    <w:qFormat/>
    <w:uiPriority w:val="0"/>
    <w:rPr>
      <w:rFonts w:eastAsia="Times New Roman"/>
      <w:color w:val="000000"/>
      <w:lang w:val="en-GB" w:eastAsia="ja-JP"/>
    </w:rPr>
  </w:style>
  <w:style w:type="character" w:customStyle="1" w:styleId="71">
    <w:name w:val="Comment Subject Char"/>
    <w:basedOn w:val="70"/>
    <w:link w:val="27"/>
    <w:qFormat/>
    <w:uiPriority w:val="0"/>
    <w:rPr>
      <w:rFonts w:eastAsia="Times New Roman"/>
      <w:b/>
      <w:bCs/>
      <w:color w:val="000000"/>
      <w:lang w:val="en-GB" w:eastAsia="ja-JP"/>
    </w:rPr>
  </w:style>
  <w:style w:type="paragraph" w:styleId="72">
    <w:name w:val="List Paragraph"/>
    <w:basedOn w:val="1"/>
    <w:qFormat/>
    <w:uiPriority w:val="99"/>
    <w:pPr>
      <w:ind w:left="720"/>
      <w:contextualSpacing/>
    </w:pPr>
  </w:style>
  <w:style w:type="paragraph" w:customStyle="1" w:styleId="73">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4">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110</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2022-02-25T03:35:34Z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44F7D8F7C9CA48FFBA7FC5B60AEA3339</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